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7158BDC3" w14:textId="77777777" w:rsidTr="001E50AA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07524" w:rsidRPr="00E65753" w:rsidP="001E50AA" w14:paraId="7158BDC0" w14:textId="77777777">
            <w:pPr>
              <w:spacing w:before="60" w:after="60"/>
              <w:rPr>
                <w:rFonts w:ascii="Work Sans" w:hAnsi="Work Sans"/>
                <w:sz w:val="32"/>
              </w:rPr>
            </w:pPr>
            <w:r>
              <w:rPr>
                <w:rFonts w:ascii="Work Sans" w:hAnsi="Work Sans"/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33.5pt">
                  <v:imagedata r:id="rId4" o:title="tfk-logo_89505d8c"/>
                </v:shape>
              </w:pic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:rsidR="00107524" w:rsidRPr="00E65753" w:rsidP="001E50AA" w14:paraId="7158BDC1" w14:textId="77777777">
            <w:pPr>
              <w:rPr>
                <w:rFonts w:ascii="Work Sans" w:hAnsi="Work Sans"/>
                <w:sz w:val="16"/>
              </w:rPr>
            </w:pPr>
            <w:r w:rsidRPr="00E65753">
              <w:rPr>
                <w:rFonts w:ascii="Work Sans" w:hAnsi="Work Sans"/>
                <w:sz w:val="16"/>
              </w:rPr>
              <w:t>Dok.id.:</w:t>
            </w:r>
          </w:p>
          <w:p w:rsidR="00107524" w:rsidRPr="00E65753" w:rsidP="001E50AA" w14:paraId="7158BDC2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color w:val="000080"/>
              </w:rPr>
              <w:fldChar w:fldCharType="begin" w:fldLock="1"/>
            </w:r>
            <w:r w:rsidRPr="00E65753">
              <w:rPr>
                <w:rFonts w:ascii="Work Sans" w:hAnsi="Work Sans"/>
                <w:color w:val="000080"/>
              </w:rPr>
              <w:instrText>DOCPROPERTY EK_RefNr \*charformat</w:instrText>
            </w:r>
            <w:r w:rsidRPr="00E65753">
              <w:rPr>
                <w:rFonts w:ascii="Work Sans" w:hAnsi="Work Sans"/>
                <w:color w:val="000080"/>
              </w:rPr>
              <w:fldChar w:fldCharType="separate"/>
            </w:r>
            <w:r w:rsidRPr="00E65753">
              <w:rPr>
                <w:rFonts w:ascii="Work Sans" w:hAnsi="Work Sans"/>
                <w:color w:val="000080"/>
              </w:rPr>
              <w:t>2.1.1.4.3.6</w:t>
            </w:r>
            <w:r w:rsidRPr="00E65753">
              <w:rPr>
                <w:rFonts w:ascii="Work Sans" w:hAnsi="Work Sans"/>
                <w:color w:val="000080"/>
              </w:rPr>
              <w:fldChar w:fldCharType="end"/>
            </w:r>
          </w:p>
        </w:tc>
      </w:tr>
      <w:tr w14:paraId="7158BDC7" w14:textId="77777777" w:rsidTr="001E50AA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524" w:rsidRPr="00E65753" w:rsidP="001E50AA" w14:paraId="7158BDC4" w14:textId="2F5EC4E4">
            <w:pPr>
              <w:spacing w:before="80" w:after="80"/>
              <w:rPr>
                <w:rFonts w:ascii="Work Sans" w:hAnsi="Work Sans"/>
                <w:bCs/>
                <w:sz w:val="24"/>
                <w:szCs w:val="24"/>
              </w:rPr>
            </w:pPr>
            <w:r w:rsidRPr="00E65753">
              <w:rPr>
                <w:rFonts w:ascii="Work Sans" w:hAnsi="Work Sans"/>
                <w:bCs/>
                <w:sz w:val="24"/>
                <w:szCs w:val="24"/>
              </w:rPr>
              <w:t>Rutiner ved klage på undervisning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07524" w:rsidRPr="00E65753" w:rsidP="001E50AA" w14:paraId="7158BDC5" w14:textId="77777777">
            <w:pPr>
              <w:rPr>
                <w:rFonts w:ascii="Work Sans" w:hAnsi="Work Sans"/>
                <w:sz w:val="16"/>
                <w:lang w:val="de-DE"/>
              </w:rPr>
            </w:pPr>
            <w:r w:rsidRPr="00E65753">
              <w:rPr>
                <w:rFonts w:ascii="Work Sans" w:hAnsi="Work Sans"/>
                <w:sz w:val="16"/>
                <w:lang w:val="de-DE"/>
              </w:rPr>
              <w:t>Dok.type:</w:t>
            </w:r>
          </w:p>
          <w:p w:rsidR="00107524" w:rsidRPr="00E65753" w:rsidP="001E50AA" w14:paraId="7158BDC6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color w:val="000080"/>
              </w:rPr>
              <w:fldChar w:fldCharType="begin" w:fldLock="1"/>
            </w:r>
            <w:r w:rsidRPr="00E65753">
              <w:rPr>
                <w:rFonts w:ascii="Work Sans" w:hAnsi="Work Sans"/>
                <w:color w:val="000080"/>
              </w:rPr>
              <w:instrText>DOCPROPERTY EK_DokType \*charformat</w:instrText>
            </w:r>
            <w:r w:rsidRPr="00E65753">
              <w:rPr>
                <w:rFonts w:ascii="Work Sans" w:hAnsi="Work Sans"/>
                <w:color w:val="000080"/>
              </w:rPr>
              <w:fldChar w:fldCharType="separate"/>
            </w:r>
            <w:r w:rsidRPr="00E65753">
              <w:rPr>
                <w:rFonts w:ascii="Work Sans" w:hAnsi="Work Sans"/>
                <w:color w:val="000080"/>
              </w:rPr>
              <w:t>Rutinebeskrivelse</w:t>
            </w:r>
            <w:r w:rsidRPr="00E65753">
              <w:rPr>
                <w:rFonts w:ascii="Work Sans" w:hAnsi="Work Sans"/>
                <w:color w:val="000080"/>
              </w:rPr>
              <w:fldChar w:fldCharType="end"/>
            </w:r>
          </w:p>
        </w:tc>
      </w:tr>
      <w:tr w14:paraId="7158BDD2" w14:textId="77777777" w:rsidTr="001E50AA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107524" w:rsidRPr="00E65753" w:rsidP="001E50AA" w14:paraId="7158BDC8" w14:textId="77777777">
            <w:pPr>
              <w:rPr>
                <w:rFonts w:ascii="Work Sans" w:hAnsi="Work Sans"/>
                <w:color w:val="000080"/>
              </w:rPr>
            </w:pPr>
            <w:r w:rsidRPr="00E65753">
              <w:rPr>
                <w:rFonts w:ascii="Work Sans" w:hAnsi="Work Sans"/>
                <w:sz w:val="16"/>
              </w:rPr>
              <w:t>Versjon:</w:t>
            </w:r>
          </w:p>
          <w:p w:rsidR="00107524" w:rsidRPr="00E65753" w:rsidP="001E50AA" w14:paraId="7158BDC9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color w:val="000080"/>
              </w:rPr>
              <w:fldChar w:fldCharType="begin" w:fldLock="1"/>
            </w:r>
            <w:r w:rsidRPr="00E65753">
              <w:rPr>
                <w:rFonts w:ascii="Work Sans" w:hAnsi="Work Sans"/>
                <w:color w:val="000080"/>
              </w:rPr>
              <w:instrText>DOCPROPERTY EK_Utgave \*charformat</w:instrText>
            </w:r>
            <w:r w:rsidRPr="00E65753">
              <w:rPr>
                <w:rFonts w:ascii="Work Sans" w:hAnsi="Work Sans"/>
                <w:color w:val="000080"/>
              </w:rPr>
              <w:fldChar w:fldCharType="separate"/>
            </w:r>
            <w:r w:rsidRPr="00E65753">
              <w:rPr>
                <w:rFonts w:ascii="Work Sans" w:hAnsi="Work Sans"/>
                <w:color w:val="000080"/>
              </w:rPr>
              <w:t>4.00</w:t>
            </w:r>
            <w:r w:rsidRPr="00E65753">
              <w:rPr>
                <w:rFonts w:ascii="Work Sans" w:hAnsi="Work Sans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07524" w:rsidRPr="00E65753" w:rsidP="001E50AA" w14:paraId="7158BDCA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sz w:val="16"/>
              </w:rPr>
              <w:t>Skrevet av:</w:t>
            </w:r>
          </w:p>
          <w:p w:rsidR="00107524" w:rsidRPr="00E65753" w:rsidP="001E50AA" w14:paraId="7158BDCB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color w:val="000080"/>
              </w:rPr>
              <w:fldChar w:fldCharType="begin" w:fldLock="1"/>
            </w:r>
            <w:r w:rsidRPr="00E65753">
              <w:rPr>
                <w:rFonts w:ascii="Work Sans" w:hAnsi="Work Sans"/>
                <w:color w:val="000080"/>
              </w:rPr>
              <w:instrText>DOCPROPERTY EK_SkrevetAv \*charformat</w:instrText>
            </w:r>
            <w:r w:rsidRPr="00E65753">
              <w:rPr>
                <w:rFonts w:ascii="Work Sans" w:hAnsi="Work Sans"/>
                <w:color w:val="000080"/>
              </w:rPr>
              <w:fldChar w:fldCharType="separate"/>
            </w:r>
            <w:r w:rsidRPr="00E65753">
              <w:rPr>
                <w:rFonts w:ascii="Work Sans" w:hAnsi="Work Sans"/>
                <w:color w:val="000080"/>
              </w:rPr>
              <w:t>Kjell Olav Mentzoni</w:t>
            </w:r>
            <w:r w:rsidRPr="00E65753">
              <w:rPr>
                <w:rFonts w:ascii="Work Sans" w:hAnsi="Work Sans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07524" w:rsidRPr="00E65753" w:rsidP="001E50AA" w14:paraId="7158BDCC" w14:textId="77777777">
            <w:pPr>
              <w:rPr>
                <w:rFonts w:ascii="Work Sans" w:hAnsi="Work Sans"/>
                <w:sz w:val="16"/>
              </w:rPr>
            </w:pPr>
            <w:r w:rsidRPr="00E65753">
              <w:rPr>
                <w:rFonts w:ascii="Work Sans" w:hAnsi="Work Sans"/>
                <w:sz w:val="16"/>
              </w:rPr>
              <w:t>Gjelder fra:</w:t>
            </w:r>
          </w:p>
          <w:p w:rsidR="00107524" w:rsidRPr="00E65753" w:rsidP="001E50AA" w14:paraId="7158BDCD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color w:val="000080"/>
              </w:rPr>
              <w:fldChar w:fldCharType="begin" w:fldLock="1"/>
            </w:r>
            <w:r w:rsidRPr="00E65753">
              <w:rPr>
                <w:rFonts w:ascii="Work Sans" w:hAnsi="Work Sans"/>
                <w:color w:val="000080"/>
              </w:rPr>
              <w:instrText>DOCPROPERTY EK_GjelderFra \*charformat</w:instrText>
            </w:r>
            <w:r w:rsidRPr="00E65753">
              <w:rPr>
                <w:rFonts w:ascii="Work Sans" w:hAnsi="Work Sans"/>
                <w:color w:val="000080"/>
              </w:rPr>
              <w:fldChar w:fldCharType="separate"/>
            </w:r>
            <w:r w:rsidRPr="00E65753">
              <w:rPr>
                <w:rFonts w:ascii="Work Sans" w:hAnsi="Work Sans"/>
                <w:color w:val="000080"/>
              </w:rPr>
              <w:t>05.12.2025</w:t>
            </w:r>
            <w:r w:rsidRPr="00E65753">
              <w:rPr>
                <w:rFonts w:ascii="Work Sans" w:hAnsi="Work Sans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07524" w:rsidRPr="00E65753" w:rsidP="001E50AA" w14:paraId="7158BDCE" w14:textId="77777777">
            <w:pPr>
              <w:rPr>
                <w:rFonts w:ascii="Work Sans" w:hAnsi="Work Sans"/>
                <w:color w:val="000080"/>
              </w:rPr>
            </w:pPr>
            <w:r w:rsidRPr="00E65753">
              <w:rPr>
                <w:rFonts w:ascii="Work Sans" w:hAnsi="Work Sans"/>
                <w:sz w:val="16"/>
              </w:rPr>
              <w:t>Godkjent av:</w:t>
            </w:r>
          </w:p>
          <w:p w:rsidR="00107524" w:rsidRPr="00E65753" w:rsidP="001E50AA" w14:paraId="7158BDCF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color w:val="000080"/>
              </w:rPr>
              <w:fldChar w:fldCharType="begin" w:fldLock="1"/>
            </w:r>
            <w:r w:rsidRPr="00E65753">
              <w:rPr>
                <w:rFonts w:ascii="Work Sans" w:hAnsi="Work Sans"/>
                <w:color w:val="000080"/>
              </w:rPr>
              <w:instrText>DOCPROPERTY EK_Signatur \*charformat</w:instrText>
            </w:r>
            <w:r w:rsidRPr="00E65753">
              <w:rPr>
                <w:rFonts w:ascii="Work Sans" w:hAnsi="Work Sans"/>
                <w:color w:val="000080"/>
              </w:rPr>
              <w:fldChar w:fldCharType="separate"/>
            </w:r>
            <w:r w:rsidRPr="00E65753">
              <w:rPr>
                <w:rFonts w:ascii="Work Sans" w:hAnsi="Work Sans"/>
                <w:color w:val="000080"/>
              </w:rPr>
              <w:t>Hilde Åse Fuhr</w:t>
            </w:r>
            <w:r w:rsidRPr="00E65753">
              <w:rPr>
                <w:rFonts w:ascii="Work Sans" w:hAnsi="Work Sans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107524" w:rsidRPr="00E65753" w:rsidP="001E50AA" w14:paraId="7158BDD0" w14:textId="77777777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  <w:sz w:val="16"/>
              </w:rPr>
              <w:t>Sidenr:</w:t>
            </w:r>
          </w:p>
          <w:p w:rsidR="00107524" w:rsidRPr="00E65753" w:rsidP="00474745" w14:paraId="7158BDD1" w14:textId="4B3C58CB">
            <w:pPr>
              <w:rPr>
                <w:rFonts w:ascii="Work Sans" w:hAnsi="Work Sans"/>
              </w:rPr>
            </w:pPr>
            <w:r w:rsidRPr="00E65753">
              <w:rPr>
                <w:rFonts w:ascii="Work Sans" w:hAnsi="Work Sans"/>
              </w:rPr>
              <w:fldChar w:fldCharType="begin"/>
            </w:r>
            <w:r w:rsidRPr="00E65753">
              <w:rPr>
                <w:rFonts w:ascii="Work Sans" w:hAnsi="Work Sans"/>
              </w:rPr>
              <w:instrText xml:space="preserve">PAGE </w:instrText>
            </w:r>
            <w:r w:rsidRPr="00E65753">
              <w:rPr>
                <w:rFonts w:ascii="Work Sans" w:hAnsi="Work Sans"/>
              </w:rPr>
              <w:fldChar w:fldCharType="separate"/>
            </w:r>
            <w:r w:rsidRPr="00E65753">
              <w:rPr>
                <w:rFonts w:ascii="Work Sans" w:hAnsi="Work Sans"/>
              </w:rPr>
              <w:t>1</w:t>
            </w:r>
            <w:r w:rsidRPr="00E65753">
              <w:rPr>
                <w:rFonts w:ascii="Work Sans" w:hAnsi="Work Sans"/>
              </w:rPr>
              <w:fldChar w:fldCharType="end"/>
            </w:r>
            <w:r w:rsidRPr="00E65753">
              <w:rPr>
                <w:rFonts w:ascii="Work Sans" w:hAnsi="Work Sans"/>
              </w:rPr>
              <w:t xml:space="preserve"> av </w:t>
            </w:r>
            <w:r w:rsidRPr="00E65753" w:rsidR="00474745">
              <w:rPr>
                <w:rFonts w:ascii="Work Sans" w:hAnsi="Work Sans"/>
              </w:rPr>
              <w:t>5</w:t>
            </w:r>
          </w:p>
        </w:tc>
      </w:tr>
    </w:tbl>
    <w:p w:rsidR="00E65753" w:rsidRPr="00E65753" w:rsidP="00497215" w14:paraId="5F4AA57F" w14:textId="77777777">
      <w:pPr>
        <w:spacing w:line="276" w:lineRule="auto"/>
        <w:rPr>
          <w:rFonts w:ascii="Work Sans" w:hAnsi="Work Sans"/>
          <w:b/>
          <w:sz w:val="24"/>
          <w:szCs w:val="24"/>
        </w:rPr>
      </w:pPr>
    </w:p>
    <w:p w:rsidR="00E65753" w:rsidRPr="00E65753" w:rsidP="00E65753" w14:paraId="36EA24FB" w14:textId="19DDD370">
      <w:p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1.0 Lovgrunnlag</w:t>
      </w: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br/>
      </w: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Opplæringen skal tilpasses den enkelte elevs behov og forutsetninger, jf. opplæringsloven § 1-3. Elever skal møte og delta aktivt i opplæringen, slik at kompetansen kan vurderes, jf. forskrift til opplæringsloven § 10-1 og § 10-4.</w:t>
      </w:r>
    </w:p>
    <w:p w:rsidR="00E65753" w:rsidRPr="00E65753" w:rsidP="00E65753" w14:paraId="4F998720" w14:textId="6E052A34">
      <w:p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1.1. Formål</w:t>
      </w: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br/>
        <w:t>Rutinene skal sikre at klager på undervisning håndteres på en trygg, rettferdig og løsningsorientert måte, og bidra til et godt læringsmiljø.</w:t>
      </w:r>
    </w:p>
    <w:p w:rsidR="00E65753" w:rsidRPr="00E65753" w:rsidP="00E65753" w14:paraId="4FE1BD93" w14:textId="573107C6">
      <w:p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1.3. Bruksområde</w:t>
      </w: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br/>
      </w: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Gjelder klager fra elever, foresatte eller tillitsvalgte på lærerens undervisning. Gjelder ikke saker om skolemiljø (kapittel 12 i opplæringsloven).</w:t>
      </w:r>
    </w:p>
    <w:p w:rsidR="00E65753" w:rsidRPr="00E65753" w:rsidP="00E65753" w14:paraId="2232A046" w14:textId="0F040C93">
      <w:pPr>
        <w:keepNext/>
        <w:keepLines/>
        <w:spacing w:before="160" w:after="80" w:line="259" w:lineRule="auto"/>
        <w:outlineLvl w:val="1"/>
        <w:rPr>
          <w:rFonts w:ascii="Work Sans" w:hAnsi="Work Sans"/>
          <w:color w:val="0F4761"/>
          <w:kern w:val="2"/>
          <w:sz w:val="32"/>
          <w:szCs w:val="3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1.4. Fremgangsmåte</w:t>
      </w:r>
    </w:p>
    <w:p w:rsidR="00E65753" w:rsidRPr="00E65753" w:rsidP="00E65753" w14:paraId="0B3B582D" w14:textId="54F7849F">
      <w:pPr>
        <w:numPr>
          <w:ilvl w:val="0"/>
          <w:numId w:val="8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Klager bør først tas opp direkte med lærer</w:t>
      </w:r>
    </w:p>
    <w:p w:rsidR="00E65753" w:rsidRPr="00E65753" w:rsidP="00E65753" w14:paraId="7EB27968" w14:textId="36A7B2D6">
      <w:pPr>
        <w:numPr>
          <w:ilvl w:val="0"/>
          <w:numId w:val="8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Læreren har ansvar for å legge til rette for god dialog</w:t>
      </w:r>
    </w:p>
    <w:p w:rsidR="00E65753" w:rsidRPr="00E65753" w:rsidP="00E65753" w14:paraId="1FE87A6D" w14:textId="5A8484DF">
      <w:pPr>
        <w:numPr>
          <w:ilvl w:val="0"/>
          <w:numId w:val="8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Eleven kan la seg representere av tillitselev eller andre</w:t>
      </w:r>
    </w:p>
    <w:p w:rsidR="00E65753" w:rsidRPr="00E65753" w:rsidP="00E65753" w14:paraId="34AD73F3" w14:textId="28EA43A4">
      <w:pPr>
        <w:numPr>
          <w:ilvl w:val="0"/>
          <w:numId w:val="8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Foresatte skal informeres hvis eleven er under 18 år, med mindre taushetsplikt tilsier noe annet</w:t>
      </w:r>
    </w:p>
    <w:p w:rsidR="00E65753" w:rsidRPr="00E65753" w:rsidP="00E65753" w14:paraId="7D460EA2" w14:textId="3E31C23F">
      <w:pPr>
        <w:numPr>
          <w:ilvl w:val="0"/>
          <w:numId w:val="8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Skolen har veiledningsplikt</w:t>
      </w:r>
    </w:p>
    <w:p w:rsidR="00E65753" w:rsidRPr="00E65753" w:rsidP="00E65753" w14:paraId="03AC697F" w14:textId="29632E7B">
      <w:p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1.5. Elev- og lærlingeombud</w:t>
      </w: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br/>
      </w: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Skolen skal informere ombudets rolle. Ombudet kan gi råd og støtte, og være tillitsperson i klagesaker.</w:t>
      </w:r>
    </w:p>
    <w:p w:rsidR="00E65753" w:rsidRPr="00E65753" w:rsidP="00E65753" w14:paraId="0857DE5E" w14:textId="77777777">
      <w:pPr>
        <w:keepNext/>
        <w:keepLines/>
        <w:spacing w:before="160" w:after="80" w:line="259" w:lineRule="auto"/>
        <w:outlineLvl w:val="2"/>
        <w:rPr>
          <w:rFonts w:ascii="Work Sans" w:hAnsi="Work Sans"/>
          <w:color w:val="0F4761"/>
          <w:kern w:val="2"/>
          <w:sz w:val="28"/>
          <w:szCs w:val="28"/>
          <w:lang w:eastAsia="en-US"/>
        </w:rPr>
      </w:pPr>
      <w:r w:rsidRPr="00E65753">
        <w:rPr>
          <w:rFonts w:ascii="Work Sans" w:hAnsi="Work Sans"/>
          <w:color w:val="0F4761"/>
          <w:kern w:val="2"/>
          <w:sz w:val="28"/>
          <w:szCs w:val="28"/>
          <w:lang w:eastAsia="en-US"/>
        </w:rPr>
        <w:t>Kvalitetskriterier:</w:t>
      </w:r>
    </w:p>
    <w:p w:rsidR="00E65753" w:rsidRPr="00E65753" w:rsidP="00E65753" w14:paraId="2DFA7C97" w14:textId="5CFAFEAC">
      <w:pPr>
        <w:numPr>
          <w:ilvl w:val="0"/>
          <w:numId w:val="9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Saklig og konstruktiv dialog</w:t>
      </w:r>
    </w:p>
    <w:p w:rsidR="00E65753" w:rsidRPr="00E65753" w:rsidP="00E65753" w14:paraId="7D8A686C" w14:textId="2408EC18">
      <w:pPr>
        <w:numPr>
          <w:ilvl w:val="0"/>
          <w:numId w:val="9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Løsninger evalueres og justeres ved behov</w:t>
      </w:r>
    </w:p>
    <w:p w:rsidR="00E65753" w:rsidRPr="00E65753" w:rsidP="00E65753" w14:paraId="41D4E095" w14:textId="055625DF">
      <w:pPr>
        <w:numPr>
          <w:ilvl w:val="0"/>
          <w:numId w:val="9"/>
        </w:num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Skoleledelsen følger opp rutinen</w:t>
      </w:r>
    </w:p>
    <w:p w:rsidR="00E65753" w:rsidRPr="00E65753" w:rsidP="00E65753" w14:paraId="1EB89CF5" w14:textId="77777777">
      <w:pPr>
        <w:keepNext/>
        <w:keepLines/>
        <w:spacing w:before="160" w:after="80" w:line="259" w:lineRule="auto"/>
        <w:outlineLvl w:val="1"/>
        <w:rPr>
          <w:rFonts w:ascii="Work Sans" w:hAnsi="Work Sans"/>
          <w:color w:val="000000"/>
          <w:kern w:val="2"/>
          <w:sz w:val="24"/>
          <w:szCs w:val="24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1.6. Lokale tilpasninger</w:t>
      </w: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br/>
      </w:r>
      <w:r w:rsidRPr="00E65753">
        <w:rPr>
          <w:rFonts w:ascii="Work Sans" w:hAnsi="Work Sans"/>
          <w:color w:val="000000"/>
          <w:kern w:val="2"/>
          <w:sz w:val="24"/>
          <w:szCs w:val="24"/>
          <w:lang w:eastAsia="en-US"/>
        </w:rPr>
        <w:t>Skoler kan gjøre lokale tilpasninger, men disse må godkjennes av fylkesutdanningssjefen.</w:t>
      </w:r>
    </w:p>
    <w:p w:rsidR="00E65753" w:rsidRPr="00E65753" w:rsidP="00E65753" w14:paraId="2B6A1AE7" w14:textId="77777777">
      <w:pPr>
        <w:keepNext/>
        <w:keepLines/>
        <w:spacing w:before="160" w:after="80" w:line="259" w:lineRule="auto"/>
        <w:outlineLvl w:val="1"/>
        <w:rPr>
          <w:rFonts w:ascii="Work Sans" w:hAnsi="Work Sans"/>
          <w:color w:val="0F4761"/>
          <w:kern w:val="2"/>
          <w:sz w:val="32"/>
          <w:szCs w:val="3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1.7. Avslutning</w:t>
      </w:r>
    </w:p>
    <w:p w:rsidR="00E65753" w:rsidRPr="00E65753" w:rsidP="00E65753" w14:paraId="2096D6BA" w14:textId="77777777">
      <w:p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Rutinen skal bidra til å sikre at klager på undervisning behandles på en strukturert og rettferdig måte, med respekt for både elevens og lærerens perspektiv. Ved å følge trinnene i rutinen, legger skolen til rette for god dialog, tydelig dokumentasjon og mulighet for forbedring.</w:t>
      </w:r>
    </w:p>
    <w:p w:rsidR="00CF6084" w:rsidP="00CF6084" w14:paraId="1C04F691" w14:textId="77777777">
      <w:pPr>
        <w:spacing w:after="160" w:line="259" w:lineRule="auto"/>
        <w:rPr>
          <w:rFonts w:ascii="Work Sans" w:eastAsia="Aptos" w:hAnsi="Work Sans"/>
          <w:kern w:val="2"/>
          <w:sz w:val="22"/>
          <w:szCs w:val="22"/>
          <w:lang w:eastAsia="en-US"/>
        </w:rPr>
      </w:pPr>
      <w:r w:rsidRPr="00E65753">
        <w:rPr>
          <w:rFonts w:ascii="Work Sans" w:eastAsia="Aptos" w:hAnsi="Work Sans"/>
          <w:kern w:val="2"/>
          <w:sz w:val="22"/>
          <w:szCs w:val="22"/>
          <w:lang w:eastAsia="en-US"/>
        </w:rPr>
        <w:t>Skolen skal til enhver tid informere om muligheten for å kontakte elev- og lærlingeombudet, og sørge for at alle involverte parter får nødvendig støtte og veiledning gjennom prosessen.</w:t>
      </w:r>
    </w:p>
    <w:p w:rsidR="00E65753" w:rsidRPr="00E65753" w:rsidP="00CF6084" w14:paraId="4F09E17F" w14:textId="456703AE">
      <w:pPr>
        <w:spacing w:after="160" w:line="259" w:lineRule="auto"/>
        <w:rPr>
          <w:rFonts w:ascii="Work Sans" w:hAnsi="Work Sans"/>
          <w:color w:val="0F4761"/>
          <w:kern w:val="2"/>
          <w:sz w:val="32"/>
          <w:szCs w:val="32"/>
          <w:lang w:eastAsia="en-US"/>
        </w:rPr>
      </w:pP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1.8. Rutine for håndtering av klage på</w:t>
      </w:r>
      <w:r w:rsidRPr="00E65753">
        <w:rPr>
          <w:rFonts w:ascii="Work Sans" w:hAnsi="Work Sans"/>
          <w:color w:val="0F4761"/>
          <w:kern w:val="2"/>
          <w:sz w:val="40"/>
          <w:szCs w:val="40"/>
          <w:lang w:eastAsia="en-US"/>
        </w:rPr>
        <w:t xml:space="preserve"> </w:t>
      </w:r>
      <w:r w:rsidRPr="00E65753">
        <w:rPr>
          <w:rFonts w:ascii="Work Sans" w:hAnsi="Work Sans"/>
          <w:color w:val="0F4761"/>
          <w:kern w:val="2"/>
          <w:sz w:val="32"/>
          <w:szCs w:val="32"/>
          <w:lang w:eastAsia="en-US"/>
        </w:rPr>
        <w:t>undervisning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52"/>
        <w:gridCol w:w="1843"/>
        <w:gridCol w:w="1329"/>
        <w:gridCol w:w="2245"/>
        <w:gridCol w:w="1274"/>
        <w:gridCol w:w="1538"/>
      </w:tblGrid>
      <w:tr w14:paraId="76741EAA" w14:textId="77777777" w:rsidTr="00CF6084"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Header/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491CA68B" w14:textId="77777777">
            <w:pPr>
              <w:spacing w:after="160" w:line="259" w:lineRule="auto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Trinn</w:t>
            </w:r>
          </w:p>
        </w:tc>
        <w:tc>
          <w:tcPr>
            <w:tcW w:w="1843" w:type="dxa"/>
            <w:hideMark/>
          </w:tcPr>
          <w:p w:rsidR="00E65753" w:rsidRPr="00E65753" w:rsidP="00E65753" w14:paraId="6B2E016E" w14:textId="376DBA44">
            <w:pPr>
              <w:spacing w:after="160" w:line="259" w:lineRule="auto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Handling/opp</w:t>
            </w:r>
            <w:r w:rsidR="00CF6084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gave</w:t>
            </w:r>
          </w:p>
        </w:tc>
        <w:tc>
          <w:tcPr>
            <w:tcW w:w="1329" w:type="dxa"/>
            <w:hideMark/>
          </w:tcPr>
          <w:p w:rsidR="00E65753" w:rsidRPr="00E65753" w:rsidP="00E65753" w14:paraId="5EF9B81E" w14:textId="77777777">
            <w:pPr>
              <w:spacing w:after="160" w:line="259" w:lineRule="auto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Ansvar</w:t>
            </w:r>
          </w:p>
        </w:tc>
        <w:tc>
          <w:tcPr>
            <w:tcW w:w="2245" w:type="dxa"/>
            <w:hideMark/>
          </w:tcPr>
          <w:p w:rsidR="00E65753" w:rsidRPr="00E65753" w:rsidP="00E65753" w14:paraId="2D194B1D" w14:textId="77777777">
            <w:pPr>
              <w:spacing w:after="160" w:line="259" w:lineRule="auto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Kommentar</w:t>
            </w:r>
          </w:p>
        </w:tc>
        <w:tc>
          <w:tcPr>
            <w:tcW w:w="1274" w:type="dxa"/>
            <w:hideMark/>
          </w:tcPr>
          <w:p w:rsidR="00E65753" w:rsidRPr="00E65753" w:rsidP="00E65753" w14:paraId="3E6366CF" w14:textId="77777777">
            <w:pPr>
              <w:spacing w:after="160" w:line="259" w:lineRule="auto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Frist</w:t>
            </w:r>
          </w:p>
        </w:tc>
        <w:tc>
          <w:tcPr>
            <w:tcW w:w="1538" w:type="dxa"/>
            <w:hideMark/>
          </w:tcPr>
          <w:p w:rsidR="00E65753" w:rsidRPr="00E65753" w:rsidP="00E65753" w14:paraId="066BF3C9" w14:textId="612A8644">
            <w:pPr>
              <w:spacing w:after="160" w:line="259" w:lineRule="auto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Dokumenta</w:t>
            </w:r>
            <w:r w:rsidR="00CF6084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sjon</w:t>
            </w:r>
          </w:p>
        </w:tc>
      </w:tr>
      <w:tr w14:paraId="7F74546C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5FC945E2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hideMark/>
          </w:tcPr>
          <w:p w:rsidR="00E65753" w:rsidRPr="00E65753" w:rsidP="00E65753" w14:paraId="478ADF1F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Klage tas opp med faglærer</w:t>
            </w:r>
          </w:p>
        </w:tc>
        <w:tc>
          <w:tcPr>
            <w:tcW w:w="1329" w:type="dxa"/>
            <w:hideMark/>
          </w:tcPr>
          <w:p w:rsidR="00E65753" w:rsidRPr="00E65753" w:rsidP="00E65753" w14:paraId="359E70F1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Faglærer</w:t>
            </w:r>
          </w:p>
        </w:tc>
        <w:tc>
          <w:tcPr>
            <w:tcW w:w="2245" w:type="dxa"/>
            <w:hideMark/>
          </w:tcPr>
          <w:p w:rsidR="00E65753" w:rsidRPr="00E65753" w:rsidP="00E65753" w14:paraId="1A5FAEBC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Muntlig/skriftlig. Skriftlig klage besvares skriftlig. Kan gå via avdelingsleder hvis eleven ikke ønsker direkte kontakt.</w:t>
            </w:r>
          </w:p>
        </w:tc>
        <w:tc>
          <w:tcPr>
            <w:tcW w:w="1274" w:type="dxa"/>
            <w:hideMark/>
          </w:tcPr>
          <w:p w:rsidR="00E65753" w:rsidRPr="00E65753" w:rsidP="00E65753" w14:paraId="63BF2C53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Snarest</w:t>
            </w:r>
          </w:p>
        </w:tc>
        <w:tc>
          <w:tcPr>
            <w:tcW w:w="1538" w:type="dxa"/>
            <w:hideMark/>
          </w:tcPr>
          <w:p w:rsidR="00E65753" w:rsidRPr="00E65753" w:rsidP="00E65753" w14:paraId="381457AD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Skriftlig klage og svar arkiveres ved behov</w:t>
            </w:r>
          </w:p>
        </w:tc>
      </w:tr>
      <w:tr w14:paraId="6A75C7BC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2CD7A580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hideMark/>
          </w:tcPr>
          <w:p w:rsidR="00CF6084" w:rsidP="00CF6084" w14:paraId="5AAB67EF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Klagen skal inneholde:</w:t>
            </w:r>
          </w:p>
          <w:p w:rsidR="00CF6084" w:rsidP="00CF6084" w14:paraId="7B6CBAEC" w14:textId="77777777">
            <w:pPr>
              <w:numPr>
                <w:ilvl w:val="0"/>
                <w:numId w:val="10"/>
              </w:numPr>
              <w:spacing w:after="160" w:line="259" w:lineRule="auto"/>
              <w:ind w:left="381" w:hanging="283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Hvem klager</w:t>
            </w:r>
          </w:p>
          <w:p w:rsidR="00CF6084" w:rsidP="00CF6084" w14:paraId="53E60AAC" w14:textId="77777777">
            <w:pPr>
              <w:numPr>
                <w:ilvl w:val="0"/>
                <w:numId w:val="10"/>
              </w:numPr>
              <w:spacing w:after="160" w:line="259" w:lineRule="auto"/>
              <w:ind w:left="381" w:hanging="283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Hva klagen gjelder</w:t>
            </w:r>
          </w:p>
          <w:p w:rsidR="00E65753" w:rsidRPr="00E65753" w:rsidP="00CF6084" w14:paraId="68B760F6" w14:textId="058EAF2C">
            <w:pPr>
              <w:numPr>
                <w:ilvl w:val="0"/>
                <w:numId w:val="10"/>
              </w:numPr>
              <w:spacing w:after="160" w:line="259" w:lineRule="auto"/>
              <w:ind w:left="381" w:hanging="283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Forslag til</w:t>
            </w:r>
            <w:r w:rsidR="00CF6084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 xml:space="preserve"> 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forbedring</w:t>
            </w:r>
          </w:p>
        </w:tc>
        <w:tc>
          <w:tcPr>
            <w:tcW w:w="1329" w:type="dxa"/>
            <w:hideMark/>
          </w:tcPr>
          <w:p w:rsidR="00E65753" w:rsidRPr="00E65753" w:rsidP="00E65753" w14:paraId="5E0FB2B4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Elev</w:t>
            </w:r>
          </w:p>
        </w:tc>
        <w:tc>
          <w:tcPr>
            <w:tcW w:w="2245" w:type="dxa"/>
            <w:hideMark/>
          </w:tcPr>
          <w:p w:rsidR="00E65753" w:rsidRPr="00E65753" w:rsidP="00E65753" w14:paraId="1B478E77" w14:textId="6602373A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 xml:space="preserve">Skjema finnes </w:t>
            </w:r>
            <w:r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på skolens hjemmeside.</w:t>
            </w:r>
          </w:p>
          <w:p w:rsidR="00E65753" w:rsidRPr="00E65753" w:rsidP="00E65753" w14:paraId="2331345D" w14:textId="12A50622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Gjelder også elevgruppe, foresatte eller tillitsvalgt</w:t>
            </w:r>
            <w:r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4" w:type="dxa"/>
            <w:hideMark/>
          </w:tcPr>
          <w:p w:rsidR="00E65753" w:rsidRPr="00E65753" w:rsidP="00E65753" w14:paraId="31B2920D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hideMark/>
          </w:tcPr>
          <w:p w:rsidR="00E65753" w:rsidRPr="00E65753" w:rsidP="00E65753" w14:paraId="2A99D464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Notat ved skriftlig klage</w:t>
            </w:r>
          </w:p>
        </w:tc>
      </w:tr>
      <w:tr w14:paraId="4B5E2CD9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437C551B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E65753" w:rsidRPr="00E65753" w:rsidP="00E65753" w14:paraId="13D9D689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Skriftlig klage til avdelingsleder</w:t>
            </w:r>
          </w:p>
        </w:tc>
        <w:tc>
          <w:tcPr>
            <w:tcW w:w="1329" w:type="dxa"/>
            <w:hideMark/>
          </w:tcPr>
          <w:p w:rsidR="00E65753" w:rsidRPr="00E65753" w:rsidP="00E65753" w14:paraId="27080490" w14:textId="0AE319CD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Elev/re</w:t>
            </w:r>
            <w:r w:rsidR="00CF6084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presentant</w:t>
            </w:r>
          </w:p>
        </w:tc>
        <w:tc>
          <w:tcPr>
            <w:tcW w:w="2245" w:type="dxa"/>
            <w:hideMark/>
          </w:tcPr>
          <w:p w:rsidR="00E65753" w:rsidRPr="00E65753" w:rsidP="00E65753" w14:paraId="79A3C407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Klagen må være begrunnet og ikke anonym</w:t>
            </w:r>
          </w:p>
        </w:tc>
        <w:tc>
          <w:tcPr>
            <w:tcW w:w="1274" w:type="dxa"/>
            <w:hideMark/>
          </w:tcPr>
          <w:p w:rsidR="00E65753" w:rsidRPr="00E65753" w:rsidP="00E65753" w14:paraId="1AA437D5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Uten ugrunnet opphold</w:t>
            </w:r>
          </w:p>
        </w:tc>
        <w:tc>
          <w:tcPr>
            <w:tcW w:w="1538" w:type="dxa"/>
            <w:hideMark/>
          </w:tcPr>
          <w:p w:rsidR="00E65753" w:rsidRPr="00E65753" w:rsidP="00E65753" w14:paraId="28FEA073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Klage arkiveres</w:t>
            </w:r>
          </w:p>
        </w:tc>
      </w:tr>
      <w:tr w14:paraId="6C343488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76EB6F33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hideMark/>
          </w:tcPr>
          <w:p w:rsidR="00E65753" w:rsidRPr="00E65753" w:rsidP="00E65753" w14:paraId="4115E6B9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Samtaler med elev og faglærer</w:t>
            </w:r>
          </w:p>
        </w:tc>
        <w:tc>
          <w:tcPr>
            <w:tcW w:w="1329" w:type="dxa"/>
            <w:hideMark/>
          </w:tcPr>
          <w:p w:rsidR="00E65753" w:rsidRPr="00E65753" w:rsidP="00E65753" w14:paraId="00410FF7" w14:textId="4C27F676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Avdelings</w:t>
            </w:r>
            <w:r w:rsidR="00CF6084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leder</w:t>
            </w:r>
          </w:p>
        </w:tc>
        <w:tc>
          <w:tcPr>
            <w:tcW w:w="2245" w:type="dxa"/>
            <w:hideMark/>
          </w:tcPr>
          <w:p w:rsidR="00E65753" w:rsidRPr="00E65753" w:rsidP="00E65753" w14:paraId="5B0E3884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Punkter fra samtalene dokumenteres</w:t>
            </w:r>
          </w:p>
        </w:tc>
        <w:tc>
          <w:tcPr>
            <w:tcW w:w="1274" w:type="dxa"/>
            <w:hideMark/>
          </w:tcPr>
          <w:p w:rsidR="00E65753" w:rsidRPr="00E65753" w:rsidP="00E65753" w14:paraId="4B9B0C3A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Innen 3 dager</w:t>
            </w:r>
          </w:p>
        </w:tc>
        <w:tc>
          <w:tcPr>
            <w:tcW w:w="1538" w:type="dxa"/>
            <w:hideMark/>
          </w:tcPr>
          <w:p w:rsidR="00E65753" w:rsidRPr="00E65753" w:rsidP="00E65753" w14:paraId="1630E0FE" w14:textId="1B38A042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Samtale</w:t>
            </w:r>
            <w:r w:rsidR="00CF6084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notater</w:t>
            </w:r>
          </w:p>
        </w:tc>
      </w:tr>
      <w:tr w14:paraId="2FC330BF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29D03174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hideMark/>
          </w:tcPr>
          <w:p w:rsidR="00E65753" w:rsidRPr="00E65753" w:rsidP="00E65753" w14:paraId="33060649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Løsningsmøte med elev, faglærer og avdelingsleder</w:t>
            </w:r>
          </w:p>
        </w:tc>
        <w:tc>
          <w:tcPr>
            <w:tcW w:w="1329" w:type="dxa"/>
            <w:hideMark/>
          </w:tcPr>
          <w:p w:rsidR="00E65753" w:rsidRPr="00E65753" w:rsidP="00E65753" w14:paraId="092BDB84" w14:textId="3426DDB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Avdelings</w:t>
            </w:r>
            <w:r w:rsidR="00CF6084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leder</w:t>
            </w:r>
          </w:p>
        </w:tc>
        <w:tc>
          <w:tcPr>
            <w:tcW w:w="2245" w:type="dxa"/>
            <w:hideMark/>
          </w:tcPr>
          <w:p w:rsidR="00E65753" w:rsidRPr="00E65753" w:rsidP="00E65753" w14:paraId="729104E2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Referat sendes til alle parter og journalføres</w:t>
            </w:r>
          </w:p>
        </w:tc>
        <w:tc>
          <w:tcPr>
            <w:tcW w:w="1274" w:type="dxa"/>
            <w:hideMark/>
          </w:tcPr>
          <w:p w:rsidR="00E65753" w:rsidRPr="00E65753" w:rsidP="00E65753" w14:paraId="40753934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Innen 1 uke</w:t>
            </w:r>
          </w:p>
        </w:tc>
        <w:tc>
          <w:tcPr>
            <w:tcW w:w="1538" w:type="dxa"/>
            <w:hideMark/>
          </w:tcPr>
          <w:p w:rsidR="00E65753" w:rsidRPr="00E65753" w:rsidP="00E65753" w14:paraId="6C205754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Referat journalføres i P360</w:t>
            </w:r>
          </w:p>
        </w:tc>
      </w:tr>
      <w:tr w14:paraId="08EA708D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6E31D358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hideMark/>
          </w:tcPr>
          <w:p w:rsidR="00E65753" w:rsidRPr="00E65753" w:rsidP="00E65753" w14:paraId="0885CD82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 xml:space="preserve">Oppfølging av 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løsning</w:t>
            </w:r>
          </w:p>
        </w:tc>
        <w:tc>
          <w:tcPr>
            <w:tcW w:w="1329" w:type="dxa"/>
            <w:hideMark/>
          </w:tcPr>
          <w:p w:rsidR="00E65753" w:rsidRPr="00E65753" w:rsidP="00E65753" w14:paraId="1029B57E" w14:textId="52148EF2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Avdelings</w:t>
            </w:r>
            <w:r w:rsidR="00CF6084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-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leder</w:t>
            </w:r>
          </w:p>
        </w:tc>
        <w:tc>
          <w:tcPr>
            <w:tcW w:w="2245" w:type="dxa"/>
            <w:hideMark/>
          </w:tcPr>
          <w:p w:rsidR="00E65753" w:rsidRPr="00E65753" w:rsidP="00E65753" w14:paraId="2B245E45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 xml:space="preserve">Evaluering med 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begge parter</w:t>
            </w:r>
          </w:p>
        </w:tc>
        <w:tc>
          <w:tcPr>
            <w:tcW w:w="1274" w:type="dxa"/>
            <w:hideMark/>
          </w:tcPr>
          <w:p w:rsidR="00E65753" w:rsidRPr="00E65753" w:rsidP="00E65753" w14:paraId="2D413916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 xml:space="preserve">I henhold 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til avtalt frist</w:t>
            </w:r>
          </w:p>
        </w:tc>
        <w:tc>
          <w:tcPr>
            <w:tcW w:w="1538" w:type="dxa"/>
            <w:hideMark/>
          </w:tcPr>
          <w:p w:rsidR="00E65753" w:rsidRPr="00E65753" w:rsidP="00E65753" w14:paraId="3A37C76D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 xml:space="preserve">Konklusjon </w:t>
            </w: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arkiveres i P360</w:t>
            </w:r>
          </w:p>
        </w:tc>
      </w:tr>
      <w:tr w14:paraId="64DF9EBE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  <w:hideMark/>
          </w:tcPr>
          <w:p w:rsidR="00E65753" w:rsidRPr="00E65753" w:rsidP="00E65753" w14:paraId="24EC7D6F" w14:textId="77777777">
            <w:pPr>
              <w:spacing w:after="160" w:line="259" w:lineRule="auto"/>
              <w:jc w:val="center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hideMark/>
          </w:tcPr>
          <w:p w:rsidR="00E65753" w:rsidRPr="00E65753" w:rsidP="00E65753" w14:paraId="1F94C53F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Skriftlig klage til rektor</w:t>
            </w:r>
          </w:p>
        </w:tc>
        <w:tc>
          <w:tcPr>
            <w:tcW w:w="1329" w:type="dxa"/>
            <w:hideMark/>
          </w:tcPr>
          <w:p w:rsidR="00E65753" w:rsidRPr="00E65753" w:rsidP="00E65753" w14:paraId="295FC506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Elev</w:t>
            </w:r>
          </w:p>
        </w:tc>
        <w:tc>
          <w:tcPr>
            <w:tcW w:w="2245" w:type="dxa"/>
            <w:hideMark/>
          </w:tcPr>
          <w:p w:rsidR="00E65753" w:rsidRPr="00E65753" w:rsidP="00E65753" w14:paraId="5A16476D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Dersom løsning ikke fungerer eller ikke aksepteres</w:t>
            </w:r>
          </w:p>
        </w:tc>
        <w:tc>
          <w:tcPr>
            <w:tcW w:w="1274" w:type="dxa"/>
            <w:hideMark/>
          </w:tcPr>
          <w:p w:rsidR="00E65753" w:rsidRPr="00E65753" w:rsidP="00E65753" w14:paraId="23BF0F0B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Snarest</w:t>
            </w:r>
          </w:p>
        </w:tc>
        <w:tc>
          <w:tcPr>
            <w:tcW w:w="1538" w:type="dxa"/>
            <w:hideMark/>
          </w:tcPr>
          <w:p w:rsidR="00E65753" w:rsidRPr="00E65753" w:rsidP="00E65753" w14:paraId="73B0E8CB" w14:textId="77777777">
            <w:pPr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E65753"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  <w:t>Klage arkiveres</w:t>
            </w:r>
          </w:p>
        </w:tc>
      </w:tr>
      <w:tr w14:paraId="0B08490A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</w:tcPr>
          <w:p w:rsidR="00007430" w:rsidRPr="00007430" w:rsidP="00007430" w14:paraId="231F0F05" w14:textId="77777777">
            <w:pPr>
              <w:keepNext/>
              <w:keepLines/>
              <w:spacing w:after="160" w:line="259" w:lineRule="auto"/>
              <w:jc w:val="center"/>
              <w:rPr>
                <w:rFonts w:ascii="Work Sans" w:eastAsia="Aptos" w:hAnsi="Work Sans"/>
                <w:b/>
                <w:bCs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007430" w:rsidRPr="00007430" w:rsidP="00007430" w14:paraId="798FF9FF" w14:textId="6DF80CF4">
            <w:pPr>
              <w:keepNext/>
              <w:keepLines/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Faglærer informeres</w:t>
            </w:r>
          </w:p>
        </w:tc>
        <w:tc>
          <w:tcPr>
            <w:tcW w:w="1329" w:type="dxa"/>
          </w:tcPr>
          <w:p w:rsidR="00007430" w:rsidRPr="00007430" w:rsidP="00007430" w14:paraId="23769AE8" w14:textId="12C6D899">
            <w:pPr>
              <w:keepNext/>
              <w:keepLines/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Avdelings-leder</w:t>
            </w:r>
          </w:p>
        </w:tc>
        <w:tc>
          <w:tcPr>
            <w:tcW w:w="2245" w:type="dxa"/>
          </w:tcPr>
          <w:p w:rsidR="00007430" w:rsidRPr="00007430" w:rsidP="00007430" w14:paraId="18218615" w14:textId="4276FFE0">
            <w:pPr>
              <w:keepNext/>
              <w:keepLines/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Holdes løpende orientert</w:t>
            </w:r>
          </w:p>
        </w:tc>
        <w:tc>
          <w:tcPr>
            <w:tcW w:w="1274" w:type="dxa"/>
          </w:tcPr>
          <w:p w:rsidR="00007430" w:rsidRPr="00007430" w:rsidP="00007430" w14:paraId="59219843" w14:textId="6A42FAF5">
            <w:pPr>
              <w:keepNext/>
              <w:keepLines/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Snarest</w:t>
            </w:r>
          </w:p>
        </w:tc>
        <w:tc>
          <w:tcPr>
            <w:tcW w:w="1538" w:type="dxa"/>
          </w:tcPr>
          <w:p w:rsidR="00007430" w:rsidRPr="00007430" w:rsidP="00007430" w14:paraId="78DB2ADD" w14:textId="26A266E4">
            <w:pPr>
              <w:keepNext/>
              <w:keepLines/>
              <w:spacing w:after="160" w:line="259" w:lineRule="auto"/>
              <w:rPr>
                <w:rFonts w:ascii="Work Sans" w:eastAsia="Aptos" w:hAnsi="Work Sans"/>
                <w:kern w:val="2"/>
                <w:sz w:val="22"/>
                <w:szCs w:val="22"/>
                <w:lang w:eastAsia="en-US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Notat om informasjon</w:t>
            </w:r>
          </w:p>
        </w:tc>
      </w:tr>
      <w:tr w14:paraId="2CE3CDB8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</w:tcPr>
          <w:p w:rsidR="00007430" w:rsidRPr="00007430" w:rsidP="00007430" w14:paraId="2AF1A2E7" w14:textId="77777777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7430" w:rsidRPr="00007430" w:rsidP="00007430" w14:paraId="1303465F" w14:textId="1057BEB4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Løsningsmøte med rektor, avdelingsleder, faglærer og elev</w:t>
            </w:r>
          </w:p>
        </w:tc>
        <w:tc>
          <w:tcPr>
            <w:tcW w:w="1329" w:type="dxa"/>
          </w:tcPr>
          <w:p w:rsidR="00007430" w:rsidRPr="00007430" w:rsidP="00007430" w14:paraId="7FAF64CD" w14:textId="05443E3B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Rektor/ avdelings</w:t>
            </w:r>
            <w:r>
              <w:rPr>
                <w:rFonts w:ascii="Work Sans" w:hAnsi="Work Sans"/>
                <w:sz w:val="22"/>
                <w:szCs w:val="22"/>
              </w:rPr>
              <w:t>-</w:t>
            </w:r>
            <w:r w:rsidRPr="00007430">
              <w:rPr>
                <w:rFonts w:ascii="Work Sans" w:hAnsi="Work Sans"/>
                <w:sz w:val="22"/>
                <w:szCs w:val="22"/>
              </w:rPr>
              <w:t>leder</w:t>
            </w:r>
          </w:p>
        </w:tc>
        <w:tc>
          <w:tcPr>
            <w:tcW w:w="2245" w:type="dxa"/>
          </w:tcPr>
          <w:p w:rsidR="00007430" w:rsidRPr="00007430" w:rsidP="00007430" w14:paraId="06BB18D1" w14:textId="3863F62D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Alle parter redegjør for sin forståelse</w:t>
            </w:r>
          </w:p>
        </w:tc>
        <w:tc>
          <w:tcPr>
            <w:tcW w:w="1274" w:type="dxa"/>
          </w:tcPr>
          <w:p w:rsidR="00007430" w:rsidRPr="00007430" w:rsidP="00007430" w14:paraId="52B3C5A5" w14:textId="6DE7FBA7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Innen 1 uke</w:t>
            </w:r>
          </w:p>
        </w:tc>
        <w:tc>
          <w:tcPr>
            <w:tcW w:w="1538" w:type="dxa"/>
          </w:tcPr>
          <w:p w:rsidR="00007430" w:rsidRPr="00007430" w:rsidP="00007430" w14:paraId="55B21BDD" w14:textId="77AE37AA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Referat journalføres</w:t>
            </w:r>
          </w:p>
        </w:tc>
      </w:tr>
      <w:tr w14:paraId="135B7D47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</w:tcPr>
          <w:p w:rsidR="00007430" w:rsidRPr="00007430" w:rsidP="00007430" w14:paraId="06383580" w14:textId="77777777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7430" w:rsidRPr="00007430" w:rsidP="00007430" w14:paraId="35691B1C" w14:textId="719A7AA7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Beslutning og tiltak</w:t>
            </w:r>
          </w:p>
        </w:tc>
        <w:tc>
          <w:tcPr>
            <w:tcW w:w="1329" w:type="dxa"/>
          </w:tcPr>
          <w:p w:rsidR="00007430" w:rsidRPr="00007430" w:rsidP="00007430" w14:paraId="1C41D013" w14:textId="4E604949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Rektor</w:t>
            </w:r>
          </w:p>
        </w:tc>
        <w:tc>
          <w:tcPr>
            <w:tcW w:w="2245" w:type="dxa"/>
          </w:tcPr>
          <w:p w:rsidR="00007430" w:rsidRPr="00007430" w:rsidP="00007430" w14:paraId="23D826A5" w14:textId="5EE84FA8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Tiltak med tidsplan og ansvar</w:t>
            </w:r>
          </w:p>
        </w:tc>
        <w:tc>
          <w:tcPr>
            <w:tcW w:w="1274" w:type="dxa"/>
          </w:tcPr>
          <w:p w:rsidR="00007430" w:rsidRPr="00007430" w:rsidP="00007430" w14:paraId="364F5532" w14:textId="1144CD94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Innen 3 dager etter møtet</w:t>
            </w:r>
          </w:p>
        </w:tc>
        <w:tc>
          <w:tcPr>
            <w:tcW w:w="1538" w:type="dxa"/>
          </w:tcPr>
          <w:p w:rsidR="00007430" w:rsidRPr="00007430" w:rsidP="00007430" w14:paraId="1C841D0F" w14:textId="178F6FAC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Tiltaksplan arkiveres</w:t>
            </w:r>
          </w:p>
        </w:tc>
      </w:tr>
      <w:tr w14:paraId="0490E098" w14:textId="77777777" w:rsidTr="00CF6084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</w:tcPr>
          <w:p w:rsidR="00007430" w:rsidRPr="00007430" w:rsidP="00007430" w14:paraId="64E243F1" w14:textId="77777777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7430" w:rsidRPr="00007430" w:rsidP="00007430" w14:paraId="57556372" w14:textId="74BBE935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Oppfølging av tiltak</w:t>
            </w:r>
          </w:p>
        </w:tc>
        <w:tc>
          <w:tcPr>
            <w:tcW w:w="1329" w:type="dxa"/>
          </w:tcPr>
          <w:p w:rsidR="00007430" w:rsidRPr="00007430" w:rsidP="00007430" w14:paraId="01D4DFAA" w14:textId="56BD7855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Avdelings</w:t>
            </w:r>
            <w:r>
              <w:rPr>
                <w:rFonts w:ascii="Work Sans" w:hAnsi="Work Sans"/>
                <w:sz w:val="22"/>
                <w:szCs w:val="22"/>
              </w:rPr>
              <w:t>-</w:t>
            </w:r>
            <w:r w:rsidRPr="00007430">
              <w:rPr>
                <w:rFonts w:ascii="Work Sans" w:hAnsi="Work Sans"/>
                <w:sz w:val="22"/>
                <w:szCs w:val="22"/>
              </w:rPr>
              <w:t>leder</w:t>
            </w:r>
          </w:p>
        </w:tc>
        <w:tc>
          <w:tcPr>
            <w:tcW w:w="2245" w:type="dxa"/>
          </w:tcPr>
          <w:p w:rsidR="00007430" w:rsidRPr="00007430" w:rsidP="00007430" w14:paraId="5E9528AA" w14:textId="42D608E1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Evaluering med begge parter</w:t>
            </w:r>
          </w:p>
        </w:tc>
        <w:tc>
          <w:tcPr>
            <w:tcW w:w="1274" w:type="dxa"/>
          </w:tcPr>
          <w:p w:rsidR="00007430" w:rsidRPr="00007430" w:rsidP="00007430" w14:paraId="1B45EC89" w14:textId="281F68B8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I henhold til rektors frist</w:t>
            </w:r>
          </w:p>
        </w:tc>
        <w:tc>
          <w:tcPr>
            <w:tcW w:w="1538" w:type="dxa"/>
          </w:tcPr>
          <w:p w:rsidR="00007430" w:rsidRPr="00007430" w:rsidP="00007430" w14:paraId="64900807" w14:textId="542A2810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Oppfølgings</w:t>
            </w:r>
            <w:r>
              <w:rPr>
                <w:rFonts w:ascii="Work Sans" w:hAnsi="Work Sans"/>
                <w:sz w:val="22"/>
                <w:szCs w:val="22"/>
              </w:rPr>
              <w:t>-</w:t>
            </w:r>
            <w:r w:rsidRPr="00007430">
              <w:rPr>
                <w:rFonts w:ascii="Work Sans" w:hAnsi="Work Sans"/>
                <w:sz w:val="22"/>
                <w:szCs w:val="22"/>
              </w:rPr>
              <w:t>notat</w:t>
            </w:r>
          </w:p>
        </w:tc>
      </w:tr>
      <w:tr w14:paraId="47443266" w14:textId="77777777" w:rsidTr="00007430">
        <w:tblPrEx>
          <w:tblW w:w="0" w:type="auto"/>
          <w:tblCellSpacing w:w="0" w:type="dxa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/>
        </w:tblPrEx>
        <w:trPr>
          <w:tblCellSpacing w:w="0" w:type="dxa"/>
        </w:trPr>
        <w:tc>
          <w:tcPr>
            <w:tcW w:w="752" w:type="dxa"/>
          </w:tcPr>
          <w:p w:rsidR="00007430" w:rsidRPr="00007430" w:rsidP="00007430" w14:paraId="0C627DC3" w14:textId="4FC9FA44">
            <w:pPr>
              <w:keepNext/>
              <w:keepLines/>
              <w:spacing w:after="160" w:line="259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007430">
              <w:rPr>
                <w:rFonts w:ascii="Work Sans" w:hAnsi="Work San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007430" w:rsidRPr="00007430" w:rsidP="00007430" w14:paraId="397F6101" w14:textId="02200E7A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Videresending til fylkes</w:t>
            </w:r>
            <w:r>
              <w:rPr>
                <w:rFonts w:ascii="Work Sans" w:hAnsi="Work Sans"/>
                <w:sz w:val="22"/>
                <w:szCs w:val="22"/>
              </w:rPr>
              <w:t>-</w:t>
            </w:r>
            <w:r w:rsidRPr="00007430">
              <w:rPr>
                <w:rFonts w:ascii="Work Sans" w:hAnsi="Work Sans"/>
                <w:sz w:val="22"/>
                <w:szCs w:val="22"/>
              </w:rPr>
              <w:t>utdannings</w:t>
            </w:r>
            <w:r>
              <w:rPr>
                <w:rFonts w:ascii="Work Sans" w:hAnsi="Work Sans"/>
                <w:sz w:val="22"/>
                <w:szCs w:val="22"/>
              </w:rPr>
              <w:t>-</w:t>
            </w:r>
            <w:r w:rsidRPr="00007430">
              <w:rPr>
                <w:rFonts w:ascii="Work Sans" w:hAnsi="Work Sans"/>
                <w:sz w:val="22"/>
                <w:szCs w:val="22"/>
              </w:rPr>
              <w:t>sjefen (FUS)</w:t>
            </w:r>
          </w:p>
        </w:tc>
        <w:tc>
          <w:tcPr>
            <w:tcW w:w="1329" w:type="dxa"/>
          </w:tcPr>
          <w:p w:rsidR="00007430" w:rsidRPr="00007430" w:rsidP="00007430" w14:paraId="66B941EC" w14:textId="22D80450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Elev/ rektor</w:t>
            </w:r>
          </w:p>
        </w:tc>
        <w:tc>
          <w:tcPr>
            <w:tcW w:w="2245" w:type="dxa"/>
          </w:tcPr>
          <w:p w:rsidR="00007430" w:rsidRPr="00007430" w:rsidP="00007430" w14:paraId="6C22DD6A" w14:textId="65213B5C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Dersom saken ikke løses lokalt</w:t>
            </w:r>
          </w:p>
        </w:tc>
        <w:tc>
          <w:tcPr>
            <w:tcW w:w="1274" w:type="dxa"/>
          </w:tcPr>
          <w:p w:rsidR="00007430" w:rsidRPr="00007430" w:rsidP="00007430" w14:paraId="10950DD1" w14:textId="46EF2A76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Uten ugrunnet opphold</w:t>
            </w:r>
          </w:p>
        </w:tc>
        <w:tc>
          <w:tcPr>
            <w:tcW w:w="1538" w:type="dxa"/>
          </w:tcPr>
          <w:p w:rsidR="00007430" w:rsidRPr="00007430" w:rsidP="00007430" w14:paraId="413FCA64" w14:textId="603CDC3D">
            <w:pPr>
              <w:keepNext/>
              <w:keepLines/>
              <w:spacing w:after="160" w:line="259" w:lineRule="auto"/>
              <w:rPr>
                <w:rFonts w:ascii="Work Sans" w:hAnsi="Work Sans"/>
                <w:sz w:val="22"/>
                <w:szCs w:val="22"/>
              </w:rPr>
            </w:pPr>
            <w:r w:rsidRPr="00007430">
              <w:rPr>
                <w:rFonts w:ascii="Work Sans" w:hAnsi="Work Sans"/>
                <w:sz w:val="22"/>
                <w:szCs w:val="22"/>
              </w:rPr>
              <w:t>Klage og vedlegg sendes og arkiveres</w:t>
            </w:r>
          </w:p>
        </w:tc>
      </w:tr>
    </w:tbl>
    <w:p w:rsidR="00007430" w14:paraId="7158BE8F" w14:textId="1A9B0203">
      <w:pPr>
        <w:rPr>
          <w:rFonts w:ascii="Work Sans" w:hAnsi="Work Sans"/>
        </w:rPr>
      </w:pPr>
    </w:p>
    <w:p w:rsidR="00544E04" w14:paraId="54CF71DA" w14:textId="77777777">
      <w:pPr>
        <w:rPr>
          <w:rFonts w:ascii="Work Sans" w:hAnsi="Work Sans"/>
        </w:rPr>
      </w:pPr>
    </w:p>
    <w:p w:rsidR="00F91404" w14:paraId="534729CE" w14:textId="77777777">
      <w:pPr>
        <w:rPr>
          <w:rFonts w:ascii="Work Sans" w:hAnsi="Work Sans"/>
        </w:rPr>
      </w:pPr>
    </w:p>
    <w:p w:rsidR="00F91404" w14:paraId="027BD815" w14:textId="4999B073">
      <w:pPr>
        <w:rPr>
          <w:rFonts w:ascii="Work Sans" w:hAnsi="Work Sans"/>
        </w:rPr>
      </w:pPr>
      <w:r>
        <w:rPr>
          <w:rFonts w:ascii="Work Sans" w:hAnsi="Work Sans"/>
        </w:rPr>
        <w:t>Klageskjema finnes på skolens hjemmeside</w:t>
      </w:r>
    </w:p>
    <w:p w:rsidR="00F91404" w14:paraId="51D78057" w14:textId="77777777">
      <w:pPr>
        <w:rPr>
          <w:rFonts w:ascii="Work Sans" w:hAnsi="Work Sans"/>
        </w:rPr>
      </w:pPr>
    </w:p>
    <w:p w:rsidR="00F91404" w14:paraId="7E035EE8" w14:textId="77777777">
      <w:pPr>
        <w:rPr>
          <w:rFonts w:ascii="Work Sans" w:hAnsi="Work Sans"/>
        </w:rPr>
      </w:pPr>
    </w:p>
    <w:p w:rsidR="00F91404" w:rsidRPr="00007430" w:rsidP="00F91404" w14:paraId="64BBADAB" w14:textId="77777777">
      <w:pPr>
        <w:rPr>
          <w:lang w:eastAsia="en-US"/>
        </w:rPr>
      </w:pPr>
      <w:r w:rsidRPr="00007430">
        <w:rPr>
          <w:lang w:eastAsia="en-US"/>
        </w:rPr>
        <w:t xml:space="preserve">Vedlegg: </w:t>
      </w:r>
    </w:p>
    <w:p w:rsidR="00FC48B6" w:rsidP="00F91404" w14:paraId="468F9EFD" w14:textId="4A48809F">
      <w:pPr>
        <w:keepNext/>
        <w:keepLines/>
        <w:spacing w:before="160" w:after="80" w:line="259" w:lineRule="auto"/>
        <w:outlineLvl w:val="1"/>
        <w:rPr>
          <w:rFonts w:ascii="Work Sans" w:hAnsi="Work Sans"/>
          <w:color w:val="0F4761"/>
          <w:kern w:val="2"/>
          <w:sz w:val="32"/>
          <w:szCs w:val="32"/>
          <w:lang w:eastAsia="en-US"/>
        </w:rPr>
      </w:pPr>
      <w:hyperlink r:id="rId5" w:history="1">
        <w:r w:rsidR="00AF324E">
          <w:rPr>
            <w:rStyle w:val="Hyperlink"/>
            <w:rFonts w:ascii="Work Sans" w:hAnsi="Work Sans"/>
            <w:kern w:val="2"/>
            <w:sz w:val="32"/>
            <w:szCs w:val="32"/>
            <w:lang w:eastAsia="en-US"/>
          </w:rPr>
          <w:t>Skjema</w:t>
        </w:r>
        <w:r w:rsidRPr="00FC48B6">
          <w:rPr>
            <w:rStyle w:val="Hyperlink"/>
            <w:rFonts w:ascii="Work Sans" w:hAnsi="Work Sans"/>
            <w:kern w:val="2"/>
            <w:sz w:val="32"/>
            <w:szCs w:val="32"/>
            <w:lang w:eastAsia="en-US"/>
          </w:rPr>
          <w:t xml:space="preserve"> for skriftlig klage på undervisning</w:t>
        </w:r>
      </w:hyperlink>
    </w:p>
    <w:sectPr w:rsidSect="00FC4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880" w:right="992" w:bottom="280" w:left="5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4A" w14:paraId="7158BE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524" w:rsidP="00107524" w14:paraId="7158BE9B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Troms fylkeskommune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4A" w14:paraId="7158BE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4A" w14:paraId="7158BE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7158BE95" w14:textId="77777777" w:rsidTr="001E50AA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107524" w:rsidP="00107524" w14:paraId="7158BE92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Rutiner ved klage på undervisning i Troms fylkeskommune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107524" w:rsidRPr="009F1BB0" w:rsidP="00107524" w14:paraId="7158BE93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4.00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107524" w:rsidP="00107524" w14:paraId="7158BE94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2.1.1.4.3.6</w:t>
          </w:r>
          <w:r>
            <w:rPr>
              <w:color w:val="000080"/>
            </w:rPr>
            <w:fldChar w:fldCharType="end"/>
          </w:r>
        </w:p>
      </w:tc>
    </w:tr>
    <w:tr w14:paraId="7158BE98" w14:textId="77777777" w:rsidTr="001E50AA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107524" w:rsidP="00107524" w14:paraId="7158BE96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524" w:rsidP="00107524" w14:paraId="7158BE97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rPr>
              <w:rFonts w:ascii="Arial" w:hAnsi="Arial"/>
              <w:lang w:val="nb-NO" w:eastAsia="nb-NO" w:bidi="ar-SA"/>
            </w:rPr>
            <w:t>3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:rsidR="00107524" w:rsidP="00107524" w14:paraId="7158B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524" w:rsidP="00107524" w14:paraId="7158BE9C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33" w:hanging="234"/>
      </w:pPr>
      <w:rPr>
        <w:rFonts w:ascii="Arial" w:hAnsi="Arial" w:cs="Arial"/>
        <w:b w:val="0"/>
        <w:bCs w:val="0"/>
        <w:i w:val="0"/>
        <w:iCs w:val="0"/>
        <w:color w:val="050505"/>
        <w:spacing w:val="-1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846" w:hanging="234"/>
      </w:pPr>
    </w:lvl>
    <w:lvl w:ilvl="2">
      <w:start w:val="0"/>
      <w:numFmt w:val="bullet"/>
      <w:lvlText w:val="•"/>
      <w:lvlJc w:val="left"/>
      <w:pPr>
        <w:ind w:left="1452" w:hanging="234"/>
      </w:pPr>
    </w:lvl>
    <w:lvl w:ilvl="3">
      <w:start w:val="0"/>
      <w:numFmt w:val="bullet"/>
      <w:lvlText w:val="•"/>
      <w:lvlJc w:val="left"/>
      <w:pPr>
        <w:ind w:left="2058" w:hanging="234"/>
      </w:pPr>
    </w:lvl>
    <w:lvl w:ilvl="4">
      <w:start w:val="0"/>
      <w:numFmt w:val="bullet"/>
      <w:lvlText w:val="•"/>
      <w:lvlJc w:val="left"/>
      <w:pPr>
        <w:ind w:left="2664" w:hanging="234"/>
      </w:pPr>
    </w:lvl>
    <w:lvl w:ilvl="5">
      <w:start w:val="0"/>
      <w:numFmt w:val="bullet"/>
      <w:lvlText w:val="•"/>
      <w:lvlJc w:val="left"/>
      <w:pPr>
        <w:ind w:left="3270" w:hanging="234"/>
      </w:pPr>
    </w:lvl>
    <w:lvl w:ilvl="6">
      <w:start w:val="0"/>
      <w:numFmt w:val="bullet"/>
      <w:lvlText w:val="•"/>
      <w:lvlJc w:val="left"/>
      <w:pPr>
        <w:ind w:left="3876" w:hanging="234"/>
      </w:pPr>
    </w:lvl>
    <w:lvl w:ilvl="7">
      <w:start w:val="0"/>
      <w:numFmt w:val="bullet"/>
      <w:lvlText w:val="•"/>
      <w:lvlJc w:val="left"/>
      <w:pPr>
        <w:ind w:left="4482" w:hanging="234"/>
      </w:pPr>
    </w:lvl>
    <w:lvl w:ilvl="8">
      <w:start w:val="0"/>
      <w:numFmt w:val="bullet"/>
      <w:lvlText w:val="•"/>
      <w:lvlJc w:val="left"/>
      <w:pPr>
        <w:ind w:left="5088" w:hanging="234"/>
      </w:pPr>
    </w:lvl>
  </w:abstractNum>
  <w:abstractNum w:abstractNumId="1">
    <w:nsid w:val="14AA739A"/>
    <w:multiLevelType w:val="hybridMultilevel"/>
    <w:tmpl w:val="3A3A160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772FB"/>
    <w:multiLevelType w:val="hybridMultilevel"/>
    <w:tmpl w:val="B470BD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54490"/>
    <w:multiLevelType w:val="multilevel"/>
    <w:tmpl w:val="3DD6C0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1CB87AC7"/>
    <w:multiLevelType w:val="hybridMultilevel"/>
    <w:tmpl w:val="45BC96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51A6"/>
    <w:multiLevelType w:val="multilevel"/>
    <w:tmpl w:val="951021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3F683CD6"/>
    <w:multiLevelType w:val="hybridMultilevel"/>
    <w:tmpl w:val="66B803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9C1D28"/>
    <w:multiLevelType w:val="hybridMultilevel"/>
    <w:tmpl w:val="69766BE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05FF1"/>
    <w:multiLevelType w:val="multilevel"/>
    <w:tmpl w:val="E96A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C0B22"/>
    <w:multiLevelType w:val="hybridMultilevel"/>
    <w:tmpl w:val="7554ADD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05977"/>
    <w:multiLevelType w:val="multilevel"/>
    <w:tmpl w:val="E81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2678">
    <w:abstractNumId w:val="5"/>
  </w:num>
  <w:num w:numId="2" w16cid:durableId="1482506760">
    <w:abstractNumId w:val="4"/>
  </w:num>
  <w:num w:numId="3" w16cid:durableId="1830174922">
    <w:abstractNumId w:val="3"/>
  </w:num>
  <w:num w:numId="4" w16cid:durableId="258098592">
    <w:abstractNumId w:val="6"/>
  </w:num>
  <w:num w:numId="5" w16cid:durableId="1882739483">
    <w:abstractNumId w:val="2"/>
  </w:num>
  <w:num w:numId="6" w16cid:durableId="935017484">
    <w:abstractNumId w:val="9"/>
  </w:num>
  <w:num w:numId="7" w16cid:durableId="1996254091">
    <w:abstractNumId w:val="1"/>
  </w:num>
  <w:num w:numId="8" w16cid:durableId="185142838">
    <w:abstractNumId w:val="10"/>
  </w:num>
  <w:num w:numId="9" w16cid:durableId="1464427171">
    <w:abstractNumId w:val="8"/>
  </w:num>
  <w:num w:numId="10" w16cid:durableId="845552963">
    <w:abstractNumId w:val="7"/>
  </w:num>
  <w:num w:numId="11" w16cid:durableId="2606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53"/>
    <w:rsid w:val="00007430"/>
    <w:rsid w:val="00107524"/>
    <w:rsid w:val="00116BB2"/>
    <w:rsid w:val="00160673"/>
    <w:rsid w:val="00175B36"/>
    <w:rsid w:val="00182B8E"/>
    <w:rsid w:val="00185B61"/>
    <w:rsid w:val="00194F4A"/>
    <w:rsid w:val="001A53E5"/>
    <w:rsid w:val="001E50AA"/>
    <w:rsid w:val="00240427"/>
    <w:rsid w:val="00266B6D"/>
    <w:rsid w:val="002C4ED6"/>
    <w:rsid w:val="002D074F"/>
    <w:rsid w:val="00382E58"/>
    <w:rsid w:val="003A6B70"/>
    <w:rsid w:val="003B5DAE"/>
    <w:rsid w:val="003C27CF"/>
    <w:rsid w:val="00443E3E"/>
    <w:rsid w:val="00474745"/>
    <w:rsid w:val="00497215"/>
    <w:rsid w:val="004E3030"/>
    <w:rsid w:val="00535CBE"/>
    <w:rsid w:val="00544E04"/>
    <w:rsid w:val="005B6796"/>
    <w:rsid w:val="006B673B"/>
    <w:rsid w:val="006C2D62"/>
    <w:rsid w:val="00712075"/>
    <w:rsid w:val="00745E41"/>
    <w:rsid w:val="007C0087"/>
    <w:rsid w:val="007E6053"/>
    <w:rsid w:val="007F313B"/>
    <w:rsid w:val="00831BD4"/>
    <w:rsid w:val="008A337D"/>
    <w:rsid w:val="008B4ADC"/>
    <w:rsid w:val="008C177E"/>
    <w:rsid w:val="009555CC"/>
    <w:rsid w:val="00991732"/>
    <w:rsid w:val="00994230"/>
    <w:rsid w:val="009B2580"/>
    <w:rsid w:val="009F1BB0"/>
    <w:rsid w:val="00A511F7"/>
    <w:rsid w:val="00A71742"/>
    <w:rsid w:val="00A7504A"/>
    <w:rsid w:val="00A96D38"/>
    <w:rsid w:val="00AF16AD"/>
    <w:rsid w:val="00AF324E"/>
    <w:rsid w:val="00B42CC1"/>
    <w:rsid w:val="00B544B2"/>
    <w:rsid w:val="00B6048C"/>
    <w:rsid w:val="00BA4DA1"/>
    <w:rsid w:val="00CB6680"/>
    <w:rsid w:val="00CF418A"/>
    <w:rsid w:val="00CF6084"/>
    <w:rsid w:val="00D03395"/>
    <w:rsid w:val="00D44C69"/>
    <w:rsid w:val="00D84574"/>
    <w:rsid w:val="00D92D6A"/>
    <w:rsid w:val="00DB7AC5"/>
    <w:rsid w:val="00E21E0A"/>
    <w:rsid w:val="00E244C2"/>
    <w:rsid w:val="00E2777E"/>
    <w:rsid w:val="00E65753"/>
    <w:rsid w:val="00EE2054"/>
    <w:rsid w:val="00EF19DC"/>
    <w:rsid w:val="00F91404"/>
    <w:rsid w:val="00FC48B6"/>
    <w:rsid w:val="00FD08F2"/>
    <w:rsid w:val="00FD47CC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jørn-Inge Thomasjord"/>
    <w:docVar w:name="ek_dbfields" w:val="EK_Avdeling¤2#4¤2# ¤3#EK_Avsnitt¤2#4¤2# ¤3#EK_Bedriftsnavn¤2#1¤2#Troms fylkeskommune¤3#EK_GjelderFra¤2#0¤2#18.08.2019¤3#EK_Opprettet¤2#0¤2#16.02.2018¤3#EK_Utgitt¤2#0¤2#16.02.2018¤3#EK_IBrukDato¤2#0¤2#18.08.2019¤3#EK_DokumentID¤2#0¤2#D03686¤3#EK_DokTittel¤2#0¤2#IOVSLP-S-Rutiner for elevklager ved offentlige videregående skoler i Troms fylkeskommune¤3#EK_DokType¤2#0¤2#Rutinebeskrivelse¤3#EK_EksRef¤2#2¤2# 0 ¤3#EK_Erstatter¤2#0¤2#1.01¤3#EK_ErstatterD¤2#0¤2#16.02.2018¤3#EK_Signatur¤2#0¤2#Bjørn Inge Thomasjord¤3#EK_Verifisert¤2#0¤2# ¤3#EK_Hørt¤2#0¤2# ¤3#EK_AuditReview¤2#2¤2# ¤3#EK_AuditApprove¤2#2¤2# ¤3#EK_Gradering¤2#0¤2#Åpen¤3#EK_Gradnr¤2#4¤2#0¤3#EK_Kapittel¤2#4¤2# ¤3#EK_Referanse¤2#2¤2# 0 ¤3#EK_RefNr¤2#0¤2#2.1.1.2.3.13¤3#EK_Revisjon¤2#0¤2#2.00¤3#EK_Ansvarlig¤2#0¤2#Bjørn-Inge Thomasjord¤3#EK_SkrevetAv¤2#0¤2#Hilde Åse Fuhr og Svein Vang¤3#EK_DokAnsvNavn¤2#0¤2# ¤3#EK_UText2¤2#0¤2# ¤3#EK_UText3¤2#0¤2# ¤3#EK_UText4¤2#0¤2# ¤3#EK_Status¤2#0¤2#I bruk¤3#EK_Stikkord¤2#0¤2#Elevklager¤3#EK_SuperStikkord¤2#0¤2#¤3#EK_Rapport¤2#3¤2#¤3#EK_EKPrintMerke¤2#0¤2#Uoffisiell utskrift er kun gyldig på utskriftsdato¤3#EK_Watermark¤2#0¤2#¤3#EK_Utgave¤2#0¤2#2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8.08.2020¤3#EK_Vedlegg¤2#2¤2# 0 ¤3#EK_AvdelingOver¤2#4¤2# ¤3#EK_HRefNr¤2#0¤2# ¤3#EK_HbNavn¤2#0¤2# ¤3#EK_DokRefnr¤2#4¤2#000201010203¤3#EK_Dokendrdato¤2#4¤2#16.02.2018 14:13:07¤3#EK_HbType¤2#4¤2# ¤3#EK_Offisiell¤2#4¤2# ¤3#EK_VedleggRef¤2#4¤2#2.1.1.2.3.13¤3#EK_Strukt00¤2#5¤2#¤5#2¤5#Utdanning¤5#0¤5#0¤4#.¤5#1¤5#Utdanningsetaten¤5#0¤5#0¤4#.¤5#1¤5#Fellesdokumenter¤5#0¤5#0¤4#.¤5#2¤5#Myndighetskrav¤5#0¤5#0¤4#.¤5#3¤5#Etatens reglement og retningslinjer¤5#0¤5#0¤4#\¤3#EK_Strukt01¤2#5¤2#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Utdanning¤5#0¤5#0¤4#.¤5#1¤5#Utdanningsetaten¤5#0¤5#0¤4#.¤5#1¤5#Fellesdokumenter¤5#0¤5#0¤4#.¤5#2¤5#Myndighetskrav¤5#0¤5#0¤4#.¤5#3¤5#Etatens reglement og retningslinjer¤5#0¤5#0¤4#\¤3#"/>
    <w:docVar w:name="ek_dl" w:val="13"/>
    <w:docVar w:name="ek_dokansvnavn" w:val=" "/>
    <w:docVar w:name="ek_doktittel" w:val="IOVSLP-S-Rutiner for elevklager ved offentlige videregående skoler i Troms fylkeskommune"/>
    <w:docVar w:name="ek_doktype" w:val="Rutinebeskrivelse"/>
    <w:docVar w:name="ek_dokumentid" w:val="D03686"/>
    <w:docVar w:name="ek_ekprintmerke" w:val="Uoffisiell utskrift er kun gyldig på utskriftsdato"/>
    <w:docVar w:name="ek_eksref" w:val="[EK_EksRef]"/>
    <w:docVar w:name="ek_erstatter" w:val="1.01"/>
    <w:docVar w:name="ek_erstatterd" w:val="16.02.2018"/>
    <w:docVar w:name="ek_format" w:val="-2"/>
    <w:docVar w:name="ek_gjelderfra" w:val="18.08.2019"/>
    <w:docVar w:name="ek_gjeldertil" w:val="18.08.2020"/>
    <w:docVar w:name="ek_gradering" w:val="Åpen"/>
    <w:docVar w:name="ek_hbnavn" w:val=" "/>
    <w:docVar w:name="ek_hrefnr" w:val=" "/>
    <w:docVar w:name="ek_hørt" w:val=" "/>
    <w:docVar w:name="ek_ibrukdato" w:val="18.08.2019"/>
    <w:docVar w:name="ek_merknad" w:val="[]"/>
    <w:docVar w:name="ek_opprettet" w:val="16.02.2018"/>
    <w:docVar w:name="ek_rapport" w:val="[]"/>
    <w:docVar w:name="ek_refnr" w:val="2.1.1.2.3.13"/>
    <w:docVar w:name="ek_revisjon" w:val="2.00"/>
    <w:docVar w:name="ek_signatur" w:val="Bjørn Inge Thomasjord"/>
    <w:docVar w:name="ek_skrevetav" w:val="Hilde Åse Fuhr og Svein Vang"/>
    <w:docVar w:name="ek_status" w:val="I bruk"/>
    <w:docVar w:name="ek_stikkord" w:val="Elevklager"/>
    <w:docVar w:name="EK_TYPE" w:val="DOK"/>
    <w:docVar w:name="ek_utext2" w:val=" "/>
    <w:docVar w:name="ek_utext3" w:val=" "/>
    <w:docVar w:name="ek_utext4" w:val=" "/>
    <w:docVar w:name="ek_utgave" w:val="2.00"/>
    <w:docVar w:name="ek_utgitt" w:val="16.0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58BDC0"/>
  <w15:docId w15:val="{BBD6E8F2-1BD0-4198-8B91-739991E4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524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ListParagraph">
    <w:name w:val="List Paragraph"/>
    <w:basedOn w:val="Normal"/>
    <w:uiPriority w:val="34"/>
    <w:qFormat/>
    <w:rsid w:val="00B544B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96D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44E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E04"/>
    <w:rPr>
      <w:color w:val="605E5C"/>
      <w:shd w:val="clear" w:color="auto" w:fill="E1DFDD"/>
    </w:rPr>
  </w:style>
  <w:style w:type="paragraph" w:styleId="BodyText">
    <w:name w:val="Body Text"/>
    <w:basedOn w:val="Normal"/>
    <w:link w:val="BrdtekstTegn"/>
    <w:uiPriority w:val="99"/>
    <w:semiHidden/>
    <w:unhideWhenUsed/>
    <w:rsid w:val="00FC48B6"/>
    <w:pPr>
      <w:spacing w:after="120"/>
    </w:pPr>
  </w:style>
  <w:style w:type="character" w:customStyle="1" w:styleId="BrdtekstTegn">
    <w:name w:val="Brødtekst Tegn"/>
    <w:basedOn w:val="DefaultParagraphFont"/>
    <w:link w:val="BodyText"/>
    <w:uiPriority w:val="99"/>
    <w:semiHidden/>
    <w:rsid w:val="00FC48B6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C48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form.jotform.com/253312928739364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DOCUMENTS%20AND%20SETTINGS\TROND.HOFSOY\APPLICATION%20DATA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95</TotalTime>
  <Pages>3</Pages>
  <Words>650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Rutiner ved klage på undervisning i Troms fylkeskommune</vt:lpstr>
      <vt:lpstr>Standard</vt:lpstr>
    </vt:vector>
  </TitlesOfParts>
  <Company>Datakvalitet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ved klage på undervisning i Troms fylkeskommune</dc:title>
  <dc:subject>000201010203|2.1.1.2.3.13|</dc:subject>
  <dc:creator>Handbok</dc:creator>
  <cp:lastModifiedBy>Trond Ketil Hofsøy</cp:lastModifiedBy>
  <cp:revision>9</cp:revision>
  <cp:lastPrinted>2025-11-17T11:41:00Z</cp:lastPrinted>
  <dcterms:created xsi:type="dcterms:W3CDTF">2019-08-18T14:44:00Z</dcterms:created>
  <dcterms:modified xsi:type="dcterms:W3CDTF">2025-12-05T09:44:00Z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Troms fylkeskommune</vt:lpwstr>
  </property>
  <property fmtid="{D5CDD505-2E9C-101B-9397-08002B2CF9AE}" pid="3" name="EK_DokTittel">
    <vt:lpwstr>Rutiner ved klage på undervisning i Troms fylkeskommune</vt:lpwstr>
  </property>
  <property fmtid="{D5CDD505-2E9C-101B-9397-08002B2CF9AE}" pid="4" name="EK_DokType">
    <vt:lpwstr>Rutinebeskrivelse</vt:lpwstr>
  </property>
  <property fmtid="{D5CDD505-2E9C-101B-9397-08002B2CF9AE}" pid="5" name="EK_GjelderFra">
    <vt:lpwstr>05.12.2025</vt:lpwstr>
  </property>
  <property fmtid="{D5CDD505-2E9C-101B-9397-08002B2CF9AE}" pid="6" name="EK_RefNr">
    <vt:lpwstr>2.1.1.4.3.6</vt:lpwstr>
  </property>
  <property fmtid="{D5CDD505-2E9C-101B-9397-08002B2CF9AE}" pid="7" name="EK_Signatur">
    <vt:lpwstr>Hilde Åse Fuhr</vt:lpwstr>
  </property>
  <property fmtid="{D5CDD505-2E9C-101B-9397-08002B2CF9AE}" pid="8" name="EK_SkrevetAv">
    <vt:lpwstr>Kjell Olav Mentzoni</vt:lpwstr>
  </property>
  <property fmtid="{D5CDD505-2E9C-101B-9397-08002B2CF9AE}" pid="9" name="EK_Utgave">
    <vt:lpwstr>4.00</vt:lpwstr>
  </property>
  <property fmtid="{D5CDD505-2E9C-101B-9397-08002B2CF9AE}" pid="10" name="EK_Watermark">
    <vt:lpwstr/>
  </property>
</Properties>
</file>